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49E" w:rsidRPr="007C049E" w:rsidRDefault="007C049E" w:rsidP="002342BF">
      <w:pPr>
        <w:tabs>
          <w:tab w:val="left" w:pos="1260"/>
          <w:tab w:val="left" w:pos="1620"/>
        </w:tabs>
        <w:spacing w:after="0"/>
        <w:ind w:left="1620" w:hanging="1620"/>
        <w:jc w:val="center"/>
        <w:rPr>
          <w:rFonts w:ascii="Browallia New" w:hAnsi="Browallia New" w:cs="Browallia New" w:hint="cs"/>
          <w:b/>
          <w:bCs/>
          <w:color w:val="FF0000"/>
          <w:sz w:val="44"/>
          <w:szCs w:val="44"/>
          <w:cs/>
        </w:rPr>
      </w:pPr>
      <w:bookmarkStart w:id="0" w:name="_GoBack"/>
      <w:r w:rsidRPr="007C049E">
        <w:rPr>
          <w:rFonts w:ascii="Browallia New" w:hAnsi="Browallia New" w:cs="Browallia New" w:hint="cs"/>
          <w:b/>
          <w:bCs/>
          <w:color w:val="FF0000"/>
          <w:sz w:val="44"/>
          <w:szCs w:val="44"/>
          <w:cs/>
        </w:rPr>
        <w:t>(</w:t>
      </w:r>
      <w:r w:rsidRPr="007C049E">
        <w:rPr>
          <w:rFonts w:ascii="Browallia New" w:hAnsi="Browallia New" w:cs="Browallia New"/>
          <w:b/>
          <w:bCs/>
          <w:color w:val="FF0000"/>
          <w:sz w:val="44"/>
          <w:szCs w:val="44"/>
        </w:rPr>
        <w:t>update 29 Nov 2017</w:t>
      </w:r>
      <w:r w:rsidRPr="007C049E">
        <w:rPr>
          <w:rFonts w:ascii="Browallia New" w:hAnsi="Browallia New" w:cs="Browallia New" w:hint="cs"/>
          <w:b/>
          <w:bCs/>
          <w:color w:val="FF0000"/>
          <w:sz w:val="44"/>
          <w:szCs w:val="44"/>
          <w:cs/>
        </w:rPr>
        <w:t>)</w:t>
      </w:r>
    </w:p>
    <w:p w:rsidR="00B01956" w:rsidRPr="00DB6986" w:rsidRDefault="00B01956" w:rsidP="002342BF">
      <w:pPr>
        <w:tabs>
          <w:tab w:val="left" w:pos="1260"/>
          <w:tab w:val="left" w:pos="1620"/>
        </w:tabs>
        <w:spacing w:after="0"/>
        <w:ind w:left="1620" w:hanging="1620"/>
        <w:jc w:val="center"/>
        <w:rPr>
          <w:rFonts w:ascii="Browallia New" w:eastAsia="Times New Roman" w:hAnsi="Browallia New" w:cs="Browallia New"/>
          <w:b/>
          <w:bCs/>
          <w:color w:val="2F5496"/>
          <w:sz w:val="44"/>
          <w:szCs w:val="44"/>
        </w:rPr>
      </w:pPr>
      <w:r w:rsidRPr="00DB6986">
        <w:rPr>
          <w:rFonts w:ascii="Browallia New" w:hAnsi="Browallia New" w:cs="Browallia New"/>
          <w:b/>
          <w:bCs/>
          <w:color w:val="2F5496"/>
          <w:sz w:val="44"/>
          <w:szCs w:val="44"/>
        </w:rPr>
        <w:t>M 1: Mental Health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7214"/>
      </w:tblGrid>
      <w:tr w:rsidR="00B01956" w:rsidRPr="00DB6986" w:rsidTr="00AC7506">
        <w:trPr>
          <w:trHeight w:val="418"/>
        </w:trPr>
        <w:tc>
          <w:tcPr>
            <w:tcW w:w="8646" w:type="dxa"/>
            <w:gridSpan w:val="2"/>
            <w:shd w:val="pct10" w:color="auto" w:fill="auto"/>
          </w:tcPr>
          <w:p w:rsidR="00B01956" w:rsidRPr="00DB6986" w:rsidRDefault="00B01956" w:rsidP="002342BF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M 1.1: Mindfulness at Work</w:t>
            </w:r>
          </w:p>
        </w:tc>
      </w:tr>
      <w:tr w:rsidR="00B01956" w:rsidRPr="00DB6986" w:rsidTr="00AC7506">
        <w:trPr>
          <w:trHeight w:val="788"/>
        </w:trPr>
        <w:tc>
          <w:tcPr>
            <w:tcW w:w="143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Definition</w:t>
            </w:r>
          </w:p>
        </w:tc>
        <w:tc>
          <w:tcPr>
            <w:tcW w:w="7214" w:type="dxa"/>
            <w:shd w:val="clear" w:color="auto" w:fill="auto"/>
          </w:tcPr>
          <w:p w:rsidR="00B01956" w:rsidRPr="00DB6986" w:rsidRDefault="0078629F" w:rsidP="002342BF">
            <w:pPr>
              <w:spacing w:after="0"/>
              <w:jc w:val="thaiDistribute"/>
              <w:rPr>
                <w:rFonts w:ascii="Browallia New" w:hAnsi="Browallia New" w:cs="Browallia New"/>
                <w:sz w:val="32"/>
                <w:szCs w:val="32"/>
              </w:rPr>
            </w:pPr>
            <w:r w:rsidRPr="0078629F">
              <w:rPr>
                <w:rFonts w:ascii="Browallia New" w:hAnsi="Browallia New" w:cs="Browallia New"/>
                <w:sz w:val="32"/>
                <w:szCs w:val="32"/>
                <w:cs/>
              </w:rPr>
              <w:t>การมีสติในงานหมายถึงการทำงานในสภาวะจิตที่อยู่กับปัจจุบัน ทำให้ทำกิจกรรมต่างๆ โดยไม่วอกแวก ไม่ถูกสอดแทรกด้วยอารมณ์</w:t>
            </w:r>
          </w:p>
        </w:tc>
      </w:tr>
      <w:tr w:rsidR="00B01956" w:rsidRPr="00DB6986" w:rsidTr="00AC7506">
        <w:trPr>
          <w:trHeight w:val="788"/>
        </w:trPr>
        <w:tc>
          <w:tcPr>
            <w:tcW w:w="1432" w:type="dxa"/>
            <w:shd w:val="clear" w:color="auto" w:fill="auto"/>
          </w:tcPr>
          <w:p w:rsidR="00B01956" w:rsidRPr="009D61DD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9D61DD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Goal</w:t>
            </w:r>
          </w:p>
        </w:tc>
        <w:tc>
          <w:tcPr>
            <w:tcW w:w="7214" w:type="dxa"/>
            <w:shd w:val="clear" w:color="auto" w:fill="auto"/>
          </w:tcPr>
          <w:p w:rsidR="00B01956" w:rsidRPr="009D61DD" w:rsidRDefault="009D61DD" w:rsidP="002342BF">
            <w:pPr>
              <w:spacing w:after="0"/>
              <w:rPr>
                <w:rFonts w:ascii="Browallia New" w:eastAsiaTheme="minorHAnsi" w:hAnsi="Browallia New" w:cs="Browallia New"/>
                <w:sz w:val="32"/>
                <w:szCs w:val="32"/>
              </w:rPr>
            </w:pPr>
            <w:r w:rsidRPr="009D61DD">
              <w:rPr>
                <w:rFonts w:ascii="Browallia New" w:hAnsi="Browallia New" w:cs="Browallia New"/>
                <w:sz w:val="32"/>
                <w:szCs w:val="32"/>
                <w:cs/>
              </w:rPr>
              <w:t>ลดความเสี่ยงจากการทำงานที่ขาดการจดจ่อในงาน และลดความเสี่ยงจากการกระทบกระทั่งทางอารมณ์ระหว่างกันและระหว่างเจ้าหน้าที่กับผู้รับบริการ</w:t>
            </w:r>
          </w:p>
        </w:tc>
      </w:tr>
      <w:tr w:rsidR="00B01956" w:rsidRPr="00DB6986" w:rsidTr="00AC7506">
        <w:trPr>
          <w:trHeight w:val="800"/>
        </w:trPr>
        <w:tc>
          <w:tcPr>
            <w:tcW w:w="143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Why</w:t>
            </w:r>
          </w:p>
        </w:tc>
        <w:tc>
          <w:tcPr>
            <w:tcW w:w="7214" w:type="dxa"/>
            <w:shd w:val="clear" w:color="auto" w:fill="auto"/>
          </w:tcPr>
          <w:p w:rsidR="00B01956" w:rsidRPr="00DF120B" w:rsidRDefault="00C22B6B" w:rsidP="002342BF">
            <w:pPr>
              <w:spacing w:after="0"/>
              <w:rPr>
                <w:rFonts w:ascii="Browallia New" w:eastAsiaTheme="minorHAnsi" w:hAnsi="Browallia New" w:cs="Browallia New"/>
                <w:sz w:val="32"/>
                <w:szCs w:val="32"/>
                <w:cs/>
              </w:rPr>
            </w:pPr>
            <w:r w:rsidRPr="00C22B6B">
              <w:rPr>
                <w:rFonts w:ascii="Browallia New" w:hAnsi="Browallia New" w:cs="Browallia New"/>
                <w:sz w:val="32"/>
                <w:szCs w:val="32"/>
                <w:cs/>
              </w:rPr>
              <w:t>สภาวะการทำงานที่มีภาระงานมาก และบุคลากรแต่ละคนก็มีปัญหาของตนเอง เมื่อมาปฏิบัติงานจึงทำให้ขาดความจดจ่อในงาน เกิดความผิดพลาดได้ง่าย และถ้ามีการสะสมอารมณ์และความเครียดมากจะทำให้เกิดการกระทบกระทั่งทั้งในระหว่างกันเองและกับผู้รับบริการได้ง่าย การฝึกมีสติในงานจะช่วยทั้งด้านความจดจ่อในงานและลดการกระทบกระทั่งจากอารมณ์และความเครียด</w:t>
            </w:r>
          </w:p>
        </w:tc>
      </w:tr>
      <w:tr w:rsidR="00B01956" w:rsidRPr="00DB6986" w:rsidTr="00AC7506">
        <w:trPr>
          <w:trHeight w:val="800"/>
        </w:trPr>
        <w:tc>
          <w:tcPr>
            <w:tcW w:w="143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Process</w:t>
            </w:r>
          </w:p>
        </w:tc>
        <w:tc>
          <w:tcPr>
            <w:tcW w:w="7214" w:type="dxa"/>
            <w:shd w:val="clear" w:color="auto" w:fill="auto"/>
          </w:tcPr>
          <w:p w:rsidR="00B01956" w:rsidRPr="00DB6986" w:rsidRDefault="00B01956" w:rsidP="002342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เริ่มงานด้วยความสงบด้วยการทำสมาธิก่อน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>3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นาที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ทำงานอย่างมีสติให้อยู่กับปัจจุบัน โดยรู้ลมหายใจรู้ในจิตที่ทำมีสัญญาณเตือนที่เหมาะสมกับปริบทองค์กร (เช่น เสียงระฆัง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, visual sing)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เพื่อเตือนเป็นระยะๆ ให้กลับมามีสติในงาน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สื่อสารระห่างกันด้วยสติสนทนา เพื่อลดการกระทบกระทั่งและอารมณ์ในระหว่างการสื่อสาร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มีการประชุมสม่ำเสมอเพื่อทบทวนงาน ด้วยการประชุมแบบสติสนทนาเพื่อเรียนรู้และแก้ไขปรับปรุงงาน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00"/>
        </w:trPr>
        <w:tc>
          <w:tcPr>
            <w:tcW w:w="143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Training</w:t>
            </w:r>
          </w:p>
        </w:tc>
        <w:tc>
          <w:tcPr>
            <w:tcW w:w="7214" w:type="dxa"/>
            <w:shd w:val="clear" w:color="auto" w:fill="auto"/>
          </w:tcPr>
          <w:p w:rsidR="00B01956" w:rsidRPr="00DB6986" w:rsidRDefault="00B01956" w:rsidP="002342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บุคลากรทุกคนได้รับการฝึกอบรมแบบ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>in</w:t>
            </w:r>
            <w:r w:rsidR="00060CAD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house training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เพื่อฝึกให้มีทักษะพื้นฐานในการทำสมาธิและฝึกสติ รวมทั้งทักษะสติสื่อสาร (หลักสูตร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>1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วัน)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ผู้บริหารได้รับการอบรมเพิ่มเติมเพื่อให้เป็นแบบอย่างในการทำงานอย่างมีสติสื่อสาร และนำการประชุมด้วยสติสนทนา (หลักสูตร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>2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วัน)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rtl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จัดอบรมวิทยากรภายใน ที่จะเป็นต้นทุนในการพัฒนาบุคลากรอย่างต่อเนื่อง (หลักสูตร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2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กับทักษะการเป็นวิทยากรอีก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2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วัน)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ind w:left="501"/>
              <w:rPr>
                <w:rFonts w:ascii="Browallia New" w:hAnsi="Browallia New" w:cs="Browallia New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B01956" w:rsidRPr="00DB6986" w:rsidTr="00AC7506">
        <w:trPr>
          <w:trHeight w:val="800"/>
        </w:trPr>
        <w:tc>
          <w:tcPr>
            <w:tcW w:w="143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Monitoring</w:t>
            </w:r>
          </w:p>
        </w:tc>
        <w:tc>
          <w:tcPr>
            <w:tcW w:w="7214" w:type="dxa"/>
            <w:shd w:val="clear" w:color="auto" w:fill="auto"/>
          </w:tcPr>
          <w:p w:rsidR="00B01956" w:rsidRPr="00DB6986" w:rsidRDefault="00B01956" w:rsidP="002342B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ประเมินการทำงานอย่างมีสติโดยแบบประเมินพฤติกรรม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ประเมินสัดส่วนการประชุมด้วยสติสนทนา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lastRenderedPageBreak/>
              <w:t>ประเมินผลลัพธ์จากตัวชี้วัดที่เกี่ยวข้อง เช่น ความผิดพลาด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,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ข้อร้องเรียน ความเครียด/ความสุขในงาน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00"/>
        </w:trPr>
        <w:tc>
          <w:tcPr>
            <w:tcW w:w="143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lastRenderedPageBreak/>
              <w:t>Pitfall</w:t>
            </w:r>
          </w:p>
        </w:tc>
        <w:tc>
          <w:tcPr>
            <w:tcW w:w="7214" w:type="dxa"/>
            <w:shd w:val="clear" w:color="auto" w:fill="auto"/>
          </w:tcPr>
          <w:p w:rsidR="00B01956" w:rsidRPr="00DB6986" w:rsidRDefault="00B01956" w:rsidP="002342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ระวังการดำเนินการให้เป็นแนวจิตวิทยาองค์กร ที่ไม่ใช่ศาสนา เพราะบุคลากรมีหลากศาสนาและความศรัทธาต่างกัน ความสำเร็จของโปรแกรมนี้ จึงต้องปลอดจากศาสนา พิธีกรรม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ไม่ใช่แค่ฝึกอบรมแต่จะต้องทำให้เข้าไปเป็นวิถีองค์กร เช่น สมาธิก่อนและหลังเลิกงาน สติในระหว่างวันโดยมีสัญญาณเตือน การประชุมด้วยสติสนทนา เป็นต้น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การดำเนินการทั่วทั้งองค์กร หรืออย่างน้อย ทั้งแผนก จะสร้างเป็นวิถีได้ดีกว่า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ind w:left="501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00"/>
        </w:trPr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Reference</w:t>
            </w:r>
          </w:p>
        </w:tc>
        <w:tc>
          <w:tcPr>
            <w:tcW w:w="7214" w:type="dxa"/>
            <w:tcBorders>
              <w:bottom w:val="single" w:sz="4" w:space="0" w:color="auto"/>
            </w:tcBorders>
            <w:shd w:val="clear" w:color="auto" w:fill="auto"/>
          </w:tcPr>
          <w:p w:rsidR="00B01956" w:rsidRPr="00DB6986" w:rsidRDefault="00B01956" w:rsidP="002342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14237E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แนวคิดสติในองค์กร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กรมสุขภาพจิต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14237E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คู่มือวิทยากรสติในองค์กร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กรมสุขภาพจิต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ind w:left="501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</w:tbl>
    <w:p w:rsidR="00B01956" w:rsidRPr="00DB6986" w:rsidRDefault="00B01956" w:rsidP="002342BF">
      <w:pPr>
        <w:tabs>
          <w:tab w:val="left" w:pos="1260"/>
          <w:tab w:val="left" w:pos="1620"/>
        </w:tabs>
        <w:spacing w:after="0"/>
        <w:ind w:left="1620" w:hanging="1620"/>
        <w:rPr>
          <w:rFonts w:ascii="Browallia New" w:eastAsia="Times New Roman" w:hAnsi="Browallia New" w:cs="Browallia New"/>
          <w:b/>
          <w:bCs/>
          <w:color w:val="2F5496"/>
          <w:sz w:val="44"/>
          <w:szCs w:val="44"/>
        </w:rPr>
      </w:pPr>
    </w:p>
    <w:p w:rsidR="00B01956" w:rsidRPr="00DB6986" w:rsidRDefault="00B01956" w:rsidP="005E01B1">
      <w:pPr>
        <w:tabs>
          <w:tab w:val="left" w:pos="1260"/>
          <w:tab w:val="left" w:pos="1620"/>
        </w:tabs>
        <w:spacing w:after="0"/>
        <w:rPr>
          <w:rFonts w:ascii="Browallia New" w:eastAsia="Times New Roman" w:hAnsi="Browallia New" w:cs="Browallia New"/>
          <w:b/>
          <w:bCs/>
          <w:color w:val="2F5496"/>
          <w:sz w:val="44"/>
          <w:szCs w:val="4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7512"/>
      </w:tblGrid>
      <w:tr w:rsidR="00B01956" w:rsidRPr="00DB6986" w:rsidTr="00AC7506">
        <w:trPr>
          <w:trHeight w:val="418"/>
        </w:trPr>
        <w:tc>
          <w:tcPr>
            <w:tcW w:w="9067" w:type="dxa"/>
            <w:gridSpan w:val="2"/>
            <w:shd w:val="pct10" w:color="auto" w:fill="auto"/>
          </w:tcPr>
          <w:p w:rsidR="00B01956" w:rsidRPr="00DB6986" w:rsidRDefault="00B01956" w:rsidP="002342BF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M 1.2:  Second Victim</w:t>
            </w:r>
          </w:p>
        </w:tc>
      </w:tr>
      <w:tr w:rsidR="00B01956" w:rsidRPr="00DB6986" w:rsidTr="00AC7506">
        <w:trPr>
          <w:trHeight w:val="788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Definition</w:t>
            </w: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rtl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เมื่อผู้ป่วยหรือญาติได้รับความเสียหายจากบริการหรือไม่พึงพอใจในบริการ ก็มักจะแสดงอารมณ์กับเจ้าหน้าที่ รวมทั้งไปแสดงออกใน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social media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ทำให้เจ้าหน้าที่ตกเป็นเหยื่อในการถูกตำหนิ กล่าวหา ว่าร้าย และเกิดผลกระทบทางจิตใจตามมา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B01956" w:rsidRPr="00DB6986" w:rsidTr="00AC7506">
        <w:trPr>
          <w:trHeight w:val="788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Goal</w:t>
            </w: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ลดความรู้สึกทางลบที่เกิดขึ้นจากปฏิกิริยาของผู้ป่วยและญาติ เข้าใจปรากฏการณ์ที่เกิดขึ้นว่าเป็นปฏิกิริยาของผู้ที่ประสพภาวะวิกฤติ รวมทั้งเข้าใจปรากฏการณ์ในโลก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social;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ทำให้สามารถยอมรับและให้อภัย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00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Why</w:t>
            </w: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32"/>
                <w:szCs w:val="32"/>
                <w:rtl/>
                <w:cs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ระบบหลักประกันสุขภาพของไทย ทำให้เพิ่มการเข้าถึงบริการ ภายใต้ขีดจำกัดของทรัพยากรและบุคลากรจึงมักเกิดปัญหาความขัดแย้งระหว่างบุคลากรกับผู้รับบริการ เช่น การรอนาน การจัดการกับภาวะฉุกเฉิน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รวมทั้งเมื่อผู้ป่วย</w:t>
            </w:r>
            <w:r w:rsidRPr="00DB6986">
              <w:rPr>
                <w:rFonts w:ascii="Browallia New" w:hAnsi="Browallia New" w:cs="Browallia New"/>
                <w:sz w:val="32"/>
                <w:szCs w:val="32"/>
                <w:rtl/>
                <w:cs/>
                <w:lang w:bidi="ar-SA"/>
              </w:rPr>
              <w:t>/</w:t>
            </w:r>
            <w:r w:rsidRPr="00DB6986"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>ญาติได้รับความเสียหายทางการแพทย์จนถึงขั้นพิการหรือชีวิต ปฏิกิริยาความสูญเสีย เช่น ไม่ยอมรับ โกรธ เศร้า จะแส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ดงออกโดยตรงกับผู้</w:t>
            </w:r>
            <w:r w:rsidRPr="00DB6986">
              <w:rPr>
                <w:rFonts w:ascii="Browallia New" w:hAnsi="Browallia New" w:cs="Browallia New"/>
                <w:spacing w:val="-6"/>
                <w:sz w:val="32"/>
                <w:szCs w:val="32"/>
                <w:cs/>
              </w:rPr>
              <w:t>ให้บริการ และในโลกปัจจุบัน ยังไปแสดงออกใน</w:t>
            </w:r>
            <w:r w:rsidRPr="00DB6986">
              <w:rPr>
                <w:rFonts w:ascii="Browallia New" w:hAnsi="Browallia New" w:cs="Browallia New"/>
                <w:spacing w:val="-6"/>
                <w:sz w:val="32"/>
                <w:szCs w:val="32"/>
                <w:lang w:bidi="ar-SA"/>
              </w:rPr>
              <w:t xml:space="preserve"> social media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ทำให้มีการขยายความรู้สึกรุนแรงจากบุคคลอื่นในโลก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lastRenderedPageBreak/>
              <w:t xml:space="preserve">social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ไปอย่างกว้างขวาง มีผลกระทบต่อสภาพจิตใจ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ของบุคลากรที่เกี่ยวข้องทั้งทางตรงและทางอ้อม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788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lastRenderedPageBreak/>
              <w:t>Process</w:t>
            </w: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จัดระบบให้มีบุคลากรด่านหน้าที่ไม่ได้เป็นผู้ให้บริการโดยตรง เพื่อทำหน้าที่อำนวยความสะดวกผู้รับบริการ และสอดส่องความเสี่ยงที่จะเกิดความไม่พอใจในบริการพื้นฐานของรพ. เช่น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OPD, ER,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คลินิกเฉพาะทาง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จัดระบบป้องกันความเสี่ยงจากการกระทบกระทั่งกันในบริการที่มีความเสี่ยงสูง เช่น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ER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และมีการทบทวนทุกครั้งที่เกิดกรณีความขัดแย้ง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เมื่อเกิดความขัดแย้งบริการด่านหน้าจะต้องเข้าดำเนินการด้วยทักษะและความเข้าใจอย่างมืออาชีพ เพื่อลดความขัดแย้งและอารมณ์ของผู้ที่เกี่ยวข้อง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หลังเหตุการณ์จะให้มีการสื่อสาร/ประชุมชี้แจงให้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staff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เกิดความเข้าใจในปัญหาที่เกิดขึ้น สร้างความเข้าใจพฤติกรรมของผู้ป่วยและญาติ ให้อภัยกับสิ่งที่เกิดขึ้น และพร้อมจะเดินหน้าทำหน้าที่ต่อไป โดยไม่ขยายอารมณ์ตอบโต้</w:t>
            </w:r>
          </w:p>
          <w:p w:rsidR="00B01956" w:rsidRPr="00DB6986" w:rsidRDefault="00B01956" w:rsidP="002342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ติดตามการสื่อสารใน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social media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และให้การชี้แจงโดยไม่ปกป้องตนเอง แสดงความเห็นใจ/เข้าใจ ในความรู้สึกของผู้ป่วยและญาติ รวมทั้งขออย่าให้ส่งต่อหรือ </w:t>
            </w: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share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ข้อความทางลบ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24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Training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</w:rPr>
              <w:t xml:space="preserve">1)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อบรมบุคลากรด่านหน้าให้มีทักษะในการสื่อสารและการจัดการกับสถานการณ์ต่างๆ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</w:rPr>
              <w:t xml:space="preserve">2)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พัฒนาหัวหน้างานทุกคนในงานบริการให้มีความเข้าใจปฏิกิริยาของผู้ป่วยและญาติ และการสื่อสารกับผู้ปฏิบัติงานที่ได้รับผลกระทบ</w:t>
            </w:r>
            <w:r w:rsidRPr="00DB6986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01956" w:rsidRPr="00DB6986" w:rsidTr="00AC7506">
        <w:trPr>
          <w:trHeight w:val="836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Monitoring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1)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อุบัติการณ์การกระทบกระทั่งระหว่างผู้ป่วย/ญาติ กับเจ้าหน้าที่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2)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ความสุข/ ความเครียด ของบุคลากร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 xml:space="preserve">3)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ข้อร้องเรียน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24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Pitfall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</w:rPr>
              <w:t xml:space="preserve">1)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แรงต้านจากบุคลากรที่มีลักษณะเฉพาะหรือวิชาชีพที่มีความเป็นตัวของตัวเองสูง</w:t>
            </w:r>
            <w:r w:rsidRPr="00DB6986">
              <w:rPr>
                <w:rFonts w:ascii="Browallia New" w:hAnsi="Browallia New" w:cs="Browallia New"/>
                <w:sz w:val="32"/>
                <w:szCs w:val="32"/>
              </w:rPr>
              <w:t xml:space="preserve">2)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การสื่อสารกับสาธารณะในลักษณะของการปกป้องตนเองหรือตำหนิผู้รับบริการ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</w:rPr>
              <w:t xml:space="preserve">3) </w:t>
            </w:r>
            <w:r w:rsidRPr="00DB6986">
              <w:rPr>
                <w:rFonts w:ascii="Browallia New" w:hAnsi="Browallia New" w:cs="Browallia New"/>
                <w:sz w:val="32"/>
                <w:szCs w:val="32"/>
                <w:cs/>
              </w:rPr>
              <w:t>การไม่ยอมสื่อสาร</w:t>
            </w:r>
          </w:p>
          <w:p w:rsidR="00B01956" w:rsidRPr="00DB6986" w:rsidRDefault="00B01956" w:rsidP="002342BF">
            <w:pPr>
              <w:pStyle w:val="ListParagraph"/>
              <w:spacing w:after="0" w:line="240" w:lineRule="auto"/>
              <w:ind w:left="459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01956" w:rsidRPr="00DB6986" w:rsidTr="00AC7506">
        <w:trPr>
          <w:trHeight w:val="824"/>
        </w:trPr>
        <w:tc>
          <w:tcPr>
            <w:tcW w:w="1555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Reference</w:t>
            </w:r>
          </w:p>
        </w:tc>
        <w:tc>
          <w:tcPr>
            <w:tcW w:w="7512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sz w:val="32"/>
                <w:szCs w:val="32"/>
                <w:lang w:bidi="ar-SA"/>
              </w:rPr>
              <w:t>-</w:t>
            </w:r>
          </w:p>
        </w:tc>
      </w:tr>
    </w:tbl>
    <w:p w:rsidR="00B01956" w:rsidRDefault="00B01956" w:rsidP="005E01B1">
      <w:pPr>
        <w:spacing w:after="0" w:line="240" w:lineRule="auto"/>
        <w:rPr>
          <w:rFonts w:ascii="Browallia New" w:hAnsi="Browallia New" w:cs="Browallia New"/>
          <w:b/>
          <w:bCs/>
          <w:color w:val="2F5496"/>
          <w:sz w:val="40"/>
          <w:szCs w:val="40"/>
        </w:rPr>
      </w:pP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6946"/>
      </w:tblGrid>
      <w:tr w:rsidR="00B01956" w:rsidRPr="00DB6986" w:rsidTr="00AC7506">
        <w:trPr>
          <w:trHeight w:val="418"/>
        </w:trPr>
        <w:tc>
          <w:tcPr>
            <w:tcW w:w="8505" w:type="dxa"/>
            <w:gridSpan w:val="2"/>
            <w:shd w:val="pct10" w:color="auto" w:fill="auto"/>
          </w:tcPr>
          <w:p w:rsidR="00B01956" w:rsidRPr="00DB6986" w:rsidRDefault="00B01956" w:rsidP="002342BF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lastRenderedPageBreak/>
              <w:t>M 1.3: Burnout and Mental Health Disorder</w:t>
            </w:r>
          </w:p>
        </w:tc>
      </w:tr>
      <w:tr w:rsidR="00B01956" w:rsidRPr="00DB6986" w:rsidTr="00AC7506">
        <w:trPr>
          <w:trHeight w:val="788"/>
        </w:trPr>
        <w:tc>
          <w:tcPr>
            <w:tcW w:w="1559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Definition</w:t>
            </w:r>
          </w:p>
        </w:tc>
        <w:tc>
          <w:tcPr>
            <w:tcW w:w="6946" w:type="dxa"/>
            <w:shd w:val="clear" w:color="auto" w:fill="auto"/>
          </w:tcPr>
          <w:p w:rsidR="00060CAD" w:rsidRDefault="00060CAD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/>
                <w:sz w:val="32"/>
                <w:szCs w:val="32"/>
              </w:rPr>
              <w:t xml:space="preserve">      </w:t>
            </w:r>
            <w:r w:rsidRPr="00060CAD">
              <w:rPr>
                <w:rFonts w:ascii="Browallia New" w:hAnsi="Browallia New" w:cs="Browallia New"/>
                <w:sz w:val="32"/>
                <w:szCs w:val="32"/>
                <w:u w:val="single"/>
              </w:rPr>
              <w:t xml:space="preserve">Burnout </w:t>
            </w:r>
            <w:r w:rsidRPr="00060CAD">
              <w:rPr>
                <w:rFonts w:ascii="Browallia New" w:hAnsi="Browallia New" w:cs="Browallia New"/>
                <w:sz w:val="32"/>
                <w:szCs w:val="32"/>
                <w:u w:val="single"/>
                <w:cs/>
              </w:rPr>
              <w:t>(หมดไฟการทำงาน)</w:t>
            </w:r>
            <w:r w:rsidRPr="00060CAD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เป็น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 w:rsidRPr="00060CAD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ภาวะที่เป็นผลจากความเครียดและภาวะงานที่มากเกินไป โดยแสดงอาการออกเป็น 2 ลักษณะ คือ รู้สึกหมดพลังและอาการของความเหนื่อยล้า เช่น   ทำงานช้าลง  โกรธง่าย นอนไม่หลับ มีความสัมพันธ์อย่างใกล้ชิดกับภาวะซึมเศร้า    </w:t>
            </w:r>
          </w:p>
          <w:p w:rsidR="00060CAD" w:rsidRPr="00060CAD" w:rsidRDefault="00060CAD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     </w:t>
            </w:r>
            <w:r w:rsidRPr="00060CAD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ส่วน </w:t>
            </w:r>
            <w:r w:rsidRPr="00060CAD">
              <w:rPr>
                <w:rFonts w:ascii="Browallia New" w:hAnsi="Browallia New" w:cs="Browallia New"/>
                <w:sz w:val="32"/>
                <w:szCs w:val="32"/>
                <w:u w:val="single"/>
              </w:rPr>
              <w:t>Mental health problems</w:t>
            </w:r>
            <w:r w:rsidRPr="00060CAD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060CAD">
              <w:rPr>
                <w:rFonts w:ascii="Browallia New" w:hAnsi="Browallia New" w:cs="Browallia New"/>
                <w:sz w:val="32"/>
                <w:szCs w:val="32"/>
                <w:cs/>
              </w:rPr>
              <w:t>หมายถึง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 </w:t>
            </w:r>
            <w:r w:rsidRPr="00060CAD">
              <w:rPr>
                <w:rFonts w:ascii="Browallia New" w:hAnsi="Browallia New" w:cs="Browallia New"/>
                <w:sz w:val="32"/>
                <w:szCs w:val="32"/>
                <w:cs/>
              </w:rPr>
              <w:t>ปัญหาสุขภาพจิตที่เข้าข่ายเป็นความผิดปกติทางด้านจิตใจแบบต่างๆ</w:t>
            </w:r>
            <w:r w:rsidR="002342BF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เช่น การติดสารเสพติด, วิตกกังว</w:t>
            </w:r>
            <w:r w:rsidR="002342BF">
              <w:rPr>
                <w:rFonts w:ascii="Browallia New" w:hAnsi="Browallia New" w:cs="Browallia New" w:hint="cs"/>
                <w:sz w:val="32"/>
                <w:szCs w:val="32"/>
                <w:cs/>
              </w:rPr>
              <w:t>ล</w:t>
            </w:r>
            <w:r w:rsidRPr="00060CAD">
              <w:rPr>
                <w:rFonts w:ascii="Browallia New" w:hAnsi="Browallia New" w:cs="Browallia New"/>
                <w:sz w:val="32"/>
                <w:szCs w:val="32"/>
                <w:cs/>
              </w:rPr>
              <w:t>, ซึมเศร้า, โรคจิต โดยความเจ็บป่วยเหล่านี้ล้วนส่งผลกระทบต่อบุคลากร ครอบครัว และการทำงาน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01956" w:rsidRPr="00DB6986" w:rsidTr="00AC7506">
        <w:trPr>
          <w:trHeight w:val="788"/>
        </w:trPr>
        <w:tc>
          <w:tcPr>
            <w:tcW w:w="1559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Goal</w:t>
            </w:r>
          </w:p>
        </w:tc>
        <w:tc>
          <w:tcPr>
            <w:tcW w:w="6946" w:type="dxa"/>
            <w:shd w:val="clear" w:color="auto" w:fill="auto"/>
          </w:tcPr>
          <w:p w:rsidR="00B01956" w:rsidRPr="00DB6986" w:rsidRDefault="00584136" w:rsidP="002342BF">
            <w:pPr>
              <w:spacing w:after="0"/>
              <w:jc w:val="thaiDistribute"/>
              <w:rPr>
                <w:rFonts w:ascii="Browallia New" w:hAnsi="Browallia New" w:cs="Browallia New"/>
                <w:sz w:val="32"/>
                <w:szCs w:val="32"/>
              </w:rPr>
            </w:pPr>
            <w:r w:rsidRPr="00584136">
              <w:rPr>
                <w:rFonts w:ascii="Browallia New" w:hAnsi="Browallia New" w:cs="Browallia New"/>
                <w:sz w:val="32"/>
                <w:szCs w:val="32"/>
                <w:cs/>
              </w:rPr>
              <w:t>ป้องกันภาวะหมดไฟในการทำงานทั้งในระดับบุคคลและองค์กร ให้การช่วยเหลือบุคคลที่มีปัญหาสุขภาพจิตให้กลับมาทำงานได้อย่างมีคุณค่า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01956" w:rsidRPr="00DB6986" w:rsidTr="00AC7506">
        <w:trPr>
          <w:trHeight w:val="800"/>
        </w:trPr>
        <w:tc>
          <w:tcPr>
            <w:tcW w:w="1559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Why</w:t>
            </w:r>
          </w:p>
        </w:tc>
        <w:tc>
          <w:tcPr>
            <w:tcW w:w="6946" w:type="dxa"/>
            <w:shd w:val="clear" w:color="auto" w:fill="auto"/>
          </w:tcPr>
          <w:p w:rsidR="00B01956" w:rsidRPr="00CF0B4A" w:rsidRDefault="00CF0B4A" w:rsidP="002342BF">
            <w:pPr>
              <w:spacing w:after="0"/>
              <w:jc w:val="thaiDistribute"/>
              <w:rPr>
                <w:rFonts w:ascii="Browallia New" w:hAnsi="Browallia New" w:cs="Browallia New"/>
                <w:sz w:val="32"/>
                <w:szCs w:val="32"/>
              </w:rPr>
            </w:pPr>
            <w:r w:rsidRPr="00CF0B4A">
              <w:rPr>
                <w:rFonts w:ascii="Browallia New" w:hAnsi="Browallia New" w:cs="Browallia New"/>
                <w:sz w:val="32"/>
                <w:szCs w:val="32"/>
                <w:cs/>
              </w:rPr>
              <w:t>งานภาคบริการที่มีภาระงานมากและเผชิญกับความต้องการจากทุกทิศทางจะทำให้บุคคลสะสมความเครียดจนนำไปสู่ภาวะหมดไฟ ซึ่งมีผลกระทบทั้งต่อสภาวะจิตใจของบุคคล เป็นภาระกับเพื่อนร่วมงาน และมีผลกระทบต่อคุณภาพงานขององค์กร สำหรับบุคคลที่มีความเปราะบางอยู่แล้ว จะนำไปสู่การเจ็บป่วยทางจิตใจ ซึ่งต้องการการรักษาเพื่อให้กลับมาใช้ชีวิตและทำงานได้อย่างมีคุณค่า</w:t>
            </w:r>
          </w:p>
          <w:p w:rsidR="00B01956" w:rsidRPr="00CF0B4A" w:rsidRDefault="00B01956" w:rsidP="002342BF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01956" w:rsidRPr="00DB6986" w:rsidTr="00AC7506">
        <w:trPr>
          <w:trHeight w:val="788"/>
        </w:trPr>
        <w:tc>
          <w:tcPr>
            <w:tcW w:w="1559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Process</w:t>
            </w:r>
          </w:p>
        </w:tc>
        <w:tc>
          <w:tcPr>
            <w:tcW w:w="6946" w:type="dxa"/>
            <w:shd w:val="clear" w:color="auto" w:fill="auto"/>
          </w:tcPr>
          <w:p w:rsidR="00343DEB" w:rsidRPr="00343DEB" w:rsidRDefault="00343DEB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hint="cs"/>
                <w:cs/>
              </w:rPr>
              <w:t xml:space="preserve">    </w:t>
            </w: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1) การสร้างสติในองค์กร (</w:t>
            </w:r>
            <w:r w:rsidRPr="00343DEB">
              <w:rPr>
                <w:rFonts w:ascii="Browallia New" w:hAnsi="Browallia New" w:cs="Browallia New"/>
                <w:sz w:val="32"/>
                <w:szCs w:val="32"/>
              </w:rPr>
              <w:t>M1.1</w:t>
            </w: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>) มีบทบาทพื้นฐานในการทำให้บุคลากรทำงานด้วยความสงบ จัดการ กับอารมณ์และความเครียดได้ดี และรู้สึกมีคุณค่าในงาน ทางเลือกอีกแบบหนึ่งคือการฝึกจัดการกับอารมณ์และความเครียดให้เป็นสมรรถนะหนึ่งของบุคลากร</w:t>
            </w:r>
          </w:p>
          <w:p w:rsidR="00343DEB" w:rsidRPr="00343DEB" w:rsidRDefault="00343DEB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2) การจัดสิ่งแวดล้อมในที่ทำงานให้รู้สึกใกล้ชิดธรรมชาติ มีความเป็นระเบียบเรียบร้อย ลดความแออัด</w:t>
            </w:r>
          </w:p>
          <w:p w:rsidR="00343DEB" w:rsidRPr="00343DEB" w:rsidRDefault="00343DEB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3) การลดภาระงานที่ไม่จำเป็นโดยการออกแบบงานใหม่ และการใช้ </w:t>
            </w:r>
            <w:r w:rsidRPr="00343DEB">
              <w:rPr>
                <w:rFonts w:ascii="Browallia New" w:hAnsi="Browallia New" w:cs="Browallia New"/>
                <w:sz w:val="32"/>
                <w:szCs w:val="32"/>
              </w:rPr>
              <w:t>IT</w:t>
            </w:r>
          </w:p>
          <w:p w:rsidR="00343DEB" w:rsidRPr="00343DEB" w:rsidRDefault="00343DEB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343DEB">
              <w:rPr>
                <w:rFonts w:ascii="Browallia New" w:hAnsi="Browallia New" w:cs="Browallia New"/>
                <w:sz w:val="32"/>
                <w:szCs w:val="32"/>
              </w:rPr>
              <w:t xml:space="preserve">     4</w:t>
            </w: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>) ผู้ที่แสดงอาการของภาวะหมดไฟ ได้รับการดูแลช่วยเหลือโดยผู้บริหารลำดับเหนือขึ้นไป และหากไม่ได้ผลในระยะ 2 สัปดาห์จะต้องส่งให้ระบบดูแลช่วยเหลือต่อไป</w:t>
            </w:r>
          </w:p>
          <w:p w:rsidR="00343DEB" w:rsidRPr="00343DEB" w:rsidRDefault="00343DEB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5) ผู้ที่มีปัญหาสุขภาพจิตและผู้ที่ไม่ตอบสนองต่อการช่วยเหลือในข้อ 4 จะต้องมีระบบดูแลช่วยเหลือ (</w:t>
            </w:r>
            <w:r w:rsidRPr="00343DEB">
              <w:rPr>
                <w:rFonts w:ascii="Browallia New" w:hAnsi="Browallia New" w:cs="Browallia New"/>
                <w:sz w:val="32"/>
                <w:szCs w:val="32"/>
              </w:rPr>
              <w:t>Employer Assistance</w:t>
            </w: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</w:t>
            </w:r>
            <w:r w:rsidRPr="00343DEB">
              <w:rPr>
                <w:rFonts w:ascii="Browallia New" w:hAnsi="Browallia New" w:cs="Browallia New"/>
                <w:sz w:val="32"/>
                <w:szCs w:val="32"/>
              </w:rPr>
              <w:t>Program: EAP</w:t>
            </w: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>) ใน</w:t>
            </w: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lastRenderedPageBreak/>
              <w:t>ลักษณะการให้คำปรึกษาที่เข้าถึงง่าย เป็นมิตร และรักษาความลับให้ผู้ขอปรึกษา</w:t>
            </w:r>
          </w:p>
          <w:p w:rsidR="00B01956" w:rsidRPr="00DB6986" w:rsidRDefault="00343DEB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343DE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6) กรณีที่พบว่ามีความผิดปกติทางจิตเวช จะต้องมีระบบส่งต่อให้ได้รับการประเมิน รักษา ฟื้นฟู   สมรรถภาพ จนสามารถกลับมาทำงานได้ตามปกติ</w:t>
            </w:r>
          </w:p>
        </w:tc>
      </w:tr>
      <w:tr w:rsidR="00B01956" w:rsidRPr="00DB6986" w:rsidTr="00AC7506">
        <w:trPr>
          <w:trHeight w:val="824"/>
        </w:trPr>
        <w:tc>
          <w:tcPr>
            <w:tcW w:w="1559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lastRenderedPageBreak/>
              <w:t>Training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6946" w:type="dxa"/>
            <w:shd w:val="clear" w:color="auto" w:fill="auto"/>
          </w:tcPr>
          <w:p w:rsidR="005F7590" w:rsidRPr="005F7590" w:rsidRDefault="005F7590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>
              <w:rPr>
                <w:rFonts w:hint="cs"/>
                <w:cs/>
              </w:rPr>
              <w:t xml:space="preserve"> </w:t>
            </w:r>
            <w:r w:rsidRPr="005F7590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>1) ใช้การอบรม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</w:rPr>
              <w:t xml:space="preserve"> Program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>สติในองค์กร</w:t>
            </w:r>
            <w:r w:rsidR="00F87BAC">
              <w:rPr>
                <w:rFonts w:ascii="Browallia New" w:hAnsi="Browallia New" w:cs="Browallia New" w:hint="cs"/>
                <w:sz w:val="32"/>
                <w:szCs w:val="32"/>
                <w:cs/>
              </w:rPr>
              <w:t xml:space="preserve">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>หรืออีกทางเลือกหนึ่งด้วยการฝึกอบรมทักษะ</w:t>
            </w:r>
            <w:r w:rsidR="00F87BAC">
              <w:rPr>
                <w:rFonts w:ascii="Browallia New" w:hAnsi="Browallia New" w:cs="Browallia New" w:hint="cs"/>
                <w:sz w:val="32"/>
                <w:szCs w:val="32"/>
                <w:cs/>
              </w:rPr>
              <w:t>ในเรื่อง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>การจัดการกับความเครียดของบุคลากร</w:t>
            </w:r>
          </w:p>
          <w:p w:rsidR="005F7590" w:rsidRPr="005F7590" w:rsidRDefault="005F7590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5F7590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2) ฝึกอบรม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</w:rPr>
              <w:t xml:space="preserve">HR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>ให้มี</w:t>
            </w:r>
            <w:r w:rsidR="007135AC" w:rsidRPr="005F7590">
              <w:rPr>
                <w:rFonts w:ascii="Browallia New" w:hAnsi="Browallia New" w:cs="Browallia New"/>
                <w:spacing w:val="-16"/>
                <w:sz w:val="32"/>
                <w:szCs w:val="32"/>
                <w:cs/>
              </w:rPr>
              <w:t xml:space="preserve">ความสามารถในการประเมินภาระที่เกี่ยวข้องกับการ </w:t>
            </w:r>
            <w:r w:rsidR="007135AC" w:rsidRPr="005F7590">
              <w:rPr>
                <w:rFonts w:ascii="Browallia New" w:hAnsi="Browallia New" w:cs="Browallia New"/>
                <w:spacing w:val="-16"/>
                <w:sz w:val="32"/>
                <w:szCs w:val="32"/>
              </w:rPr>
              <w:t xml:space="preserve">Burn out </w:t>
            </w:r>
            <w:r w:rsidR="007135AC" w:rsidRPr="005F7590">
              <w:rPr>
                <w:rFonts w:ascii="Browallia New" w:hAnsi="Browallia New" w:cs="Browallia New"/>
                <w:spacing w:val="-16"/>
                <w:sz w:val="32"/>
                <w:szCs w:val="32"/>
                <w:cs/>
              </w:rPr>
              <w:t>การป้องกันและการแก้ไข</w:t>
            </w:r>
          </w:p>
          <w:p w:rsidR="00B01956" w:rsidRPr="00F87BAC" w:rsidRDefault="005F7590" w:rsidP="002342BF">
            <w:pPr>
              <w:spacing w:after="0"/>
            </w:pPr>
            <w:r w:rsidRPr="005F7590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3) อบรมหัวหน้างานให้มีทักษะในการสังเกตและเข้าใจเบื้องต้นของการ </w:t>
            </w:r>
            <w:r w:rsidR="007135AC" w:rsidRPr="005F7590">
              <w:rPr>
                <w:rFonts w:ascii="Browallia New" w:hAnsi="Browallia New" w:cs="Browallia New"/>
                <w:sz w:val="32"/>
                <w:szCs w:val="32"/>
              </w:rPr>
              <w:t>Burn out</w:t>
            </w:r>
            <w:r w:rsidR="007135AC">
              <w:t xml:space="preserve"> </w:t>
            </w:r>
          </w:p>
        </w:tc>
      </w:tr>
      <w:tr w:rsidR="00B01956" w:rsidRPr="00DB6986" w:rsidTr="00AC7506">
        <w:trPr>
          <w:trHeight w:val="836"/>
        </w:trPr>
        <w:tc>
          <w:tcPr>
            <w:tcW w:w="1559" w:type="dxa"/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Monitoring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6946" w:type="dxa"/>
            <w:shd w:val="clear" w:color="auto" w:fill="auto"/>
          </w:tcPr>
          <w:p w:rsidR="00A82E02" w:rsidRPr="00A82E02" w:rsidRDefault="00A82E02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1) ประเมินภาวะ </w:t>
            </w:r>
            <w:r w:rsidRPr="00A82E02">
              <w:rPr>
                <w:rFonts w:ascii="Browallia New" w:hAnsi="Browallia New" w:cs="Browallia New"/>
                <w:sz w:val="32"/>
                <w:szCs w:val="32"/>
              </w:rPr>
              <w:t xml:space="preserve">Burn out </w:t>
            </w: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>หรือความเครียดของบุคลากร</w:t>
            </w:r>
          </w:p>
          <w:p w:rsidR="00A82E02" w:rsidRPr="002336FA" w:rsidRDefault="00A82E02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  <w:vertAlign w:val="superscript"/>
              </w:rPr>
            </w:pP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2) ประเมินภาระงานที่ทำให้เกิดภาวะ </w:t>
            </w:r>
            <w:r w:rsidRPr="00A82E02">
              <w:rPr>
                <w:rFonts w:ascii="Browallia New" w:hAnsi="Browallia New" w:cs="Browallia New"/>
                <w:sz w:val="32"/>
                <w:szCs w:val="32"/>
              </w:rPr>
              <w:t xml:space="preserve">Burn out </w:t>
            </w: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เช่น </w:t>
            </w:r>
            <w:r w:rsidRPr="00A82E02">
              <w:rPr>
                <w:rFonts w:ascii="Browallia New" w:hAnsi="Browallia New" w:cs="Browallia New"/>
                <w:sz w:val="32"/>
                <w:szCs w:val="32"/>
              </w:rPr>
              <w:t xml:space="preserve">Oldenburg Burnout Inventory </w:t>
            </w: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>(</w:t>
            </w:r>
            <w:r w:rsidRPr="00A82E02">
              <w:rPr>
                <w:rFonts w:ascii="Browallia New" w:hAnsi="Browallia New" w:cs="Browallia New"/>
                <w:sz w:val="32"/>
                <w:szCs w:val="32"/>
              </w:rPr>
              <w:t>OLBI</w:t>
            </w: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>)</w:t>
            </w:r>
            <w:r w:rsidR="002336FA" w:rsidRPr="002336FA">
              <w:rPr>
                <w:rFonts w:ascii="Browallia New" w:hAnsi="Browallia New" w:cs="Browallia New"/>
                <w:sz w:val="32"/>
                <w:szCs w:val="32"/>
                <w:vertAlign w:val="superscript"/>
              </w:rPr>
              <w:t>1</w:t>
            </w:r>
          </w:p>
          <w:p w:rsidR="00A82E02" w:rsidRDefault="00A82E02" w:rsidP="002342BF">
            <w:pPr>
              <w:spacing w:after="0"/>
            </w:pP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>3)</w:t>
            </w:r>
            <w:r w:rsidRPr="00A82E02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A82E02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ประเมินการเข้าถึงและใช้บริการ  </w:t>
            </w:r>
            <w:r w:rsidRPr="00A82E02">
              <w:rPr>
                <w:rFonts w:ascii="Browallia New" w:hAnsi="Browallia New" w:cs="Browallia New"/>
                <w:sz w:val="32"/>
                <w:szCs w:val="32"/>
              </w:rPr>
              <w:t>EAP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tr w:rsidR="00B01956" w:rsidRPr="00DB6986" w:rsidTr="00AC7506">
        <w:trPr>
          <w:trHeight w:val="824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Pitfall</w:t>
            </w:r>
          </w:p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</w:tcPr>
          <w:p w:rsidR="00BC7FFD" w:rsidRPr="002336FA" w:rsidRDefault="00BC7FFD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2336F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1) ปริบทของภาระงานที่ดูเหมือนแก้ไขไม่ได้ สามารถทำได้ดีขึ้นได้ทั้งการปรับปรุงระบบและการพัฒนาความสามารถของบุคลกร</w:t>
            </w:r>
          </w:p>
          <w:p w:rsidR="00BC7FFD" w:rsidRPr="002336FA" w:rsidRDefault="00BC7FFD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  <w:r w:rsidRPr="002336F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2) ภาวะ </w:t>
            </w:r>
            <w:r w:rsidRPr="002336FA">
              <w:rPr>
                <w:rFonts w:ascii="Browallia New" w:hAnsi="Browallia New" w:cs="Browallia New"/>
                <w:sz w:val="32"/>
                <w:szCs w:val="32"/>
              </w:rPr>
              <w:t xml:space="preserve">Burn out </w:t>
            </w:r>
            <w:r w:rsidRPr="002336FA">
              <w:rPr>
                <w:rFonts w:ascii="Browallia New" w:hAnsi="Browallia New" w:cs="Browallia New"/>
                <w:sz w:val="32"/>
                <w:szCs w:val="32"/>
                <w:cs/>
              </w:rPr>
              <w:t>แยกไม่ออกกับการจัดการทั้งองค์กร โดยให้บุคลากรมีส่วนร่วมในงาน รู้สึกได้รับการยอมรับและการปฏิบัติที่เป็นธรรม</w:t>
            </w:r>
          </w:p>
          <w:p w:rsidR="00BC7FFD" w:rsidRPr="002336FA" w:rsidRDefault="00BC7FFD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2336FA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     3) โปรแกรม </w:t>
            </w:r>
            <w:r w:rsidRPr="002336FA">
              <w:rPr>
                <w:rFonts w:ascii="Browallia New" w:hAnsi="Browallia New" w:cs="Browallia New"/>
                <w:sz w:val="32"/>
                <w:szCs w:val="32"/>
              </w:rPr>
              <w:t xml:space="preserve">EAP </w:t>
            </w:r>
            <w:r w:rsidRPr="002336FA">
              <w:rPr>
                <w:rFonts w:ascii="Browallia New" w:hAnsi="Browallia New" w:cs="Browallia New"/>
                <w:sz w:val="32"/>
                <w:szCs w:val="32"/>
                <w:cs/>
              </w:rPr>
              <w:t>ต้องระวังไม่ให้รู้สึกเป็นการตราหน้า</w:t>
            </w:r>
          </w:p>
          <w:p w:rsidR="00B01956" w:rsidRPr="002336FA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</w:rPr>
            </w:pPr>
          </w:p>
        </w:tc>
      </w:tr>
      <w:tr w:rsidR="00B01956" w:rsidRPr="00DB6986" w:rsidTr="00AC7506">
        <w:trPr>
          <w:trHeight w:val="8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956" w:rsidRPr="00DB6986" w:rsidRDefault="00B01956" w:rsidP="002342B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</w:pPr>
            <w:r w:rsidRPr="00DB6986">
              <w:rPr>
                <w:rFonts w:ascii="Browallia New" w:hAnsi="Browallia New" w:cs="Browallia New"/>
                <w:b/>
                <w:bCs/>
                <w:sz w:val="32"/>
                <w:szCs w:val="32"/>
                <w:lang w:bidi="ar-SA"/>
              </w:rPr>
              <w:t>Reference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6FA" w:rsidRPr="002336FA" w:rsidRDefault="002336FA" w:rsidP="002336FA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Browallia New" w:eastAsia="Times New Roman" w:hAnsi="Browallia New" w:cs="Browallia New"/>
                <w:color w:val="333333"/>
                <w:sz w:val="32"/>
                <w:szCs w:val="32"/>
              </w:rPr>
            </w:pPr>
            <w:r w:rsidRPr="002336FA">
              <w:rPr>
                <w:rFonts w:ascii="Browallia New" w:eastAsia="Times New Roman" w:hAnsi="Browallia New" w:cs="Browallia New"/>
                <w:color w:val="000000"/>
                <w:sz w:val="32"/>
                <w:szCs w:val="32"/>
              </w:rPr>
              <w:t xml:space="preserve">Reis D, Xanthopoulou D, and Tsaousis I. </w:t>
            </w:r>
            <w:r w:rsidRPr="002336FA">
              <w:rPr>
                <w:rFonts w:ascii="Browallia New" w:eastAsia="Times New Roman" w:hAnsi="Browallia New" w:cs="Browallia New"/>
                <w:b/>
                <w:bCs/>
                <w:kern w:val="36"/>
                <w:sz w:val="32"/>
                <w:szCs w:val="32"/>
              </w:rPr>
              <w:t xml:space="preserve">Measuring job and academic burnout with the Oldenburg Burnout Inventory (OLBI): Factorial invariance across samples and countries. </w:t>
            </w:r>
            <w:hyperlink r:id="rId5" w:history="1">
              <w:r w:rsidRPr="002336FA">
                <w:rPr>
                  <w:rFonts w:ascii="Browallia New" w:eastAsia="Times New Roman" w:hAnsi="Browallia New" w:cs="Browallia New"/>
                  <w:sz w:val="32"/>
                  <w:szCs w:val="32"/>
                </w:rPr>
                <w:t>Burnout Research</w:t>
              </w:r>
            </w:hyperlink>
            <w:r w:rsidRPr="002336FA">
              <w:rPr>
                <w:rFonts w:ascii="Browallia New" w:eastAsia="Times New Roman" w:hAnsi="Browallia New" w:cs="Browallia New"/>
                <w:sz w:val="32"/>
                <w:szCs w:val="32"/>
              </w:rPr>
              <w:t>. 2015</w:t>
            </w:r>
            <w:proofErr w:type="gramStart"/>
            <w:r w:rsidRPr="002336FA">
              <w:rPr>
                <w:rFonts w:ascii="Browallia New" w:eastAsia="Times New Roman" w:hAnsi="Browallia New" w:cs="Browallia New"/>
                <w:sz w:val="32"/>
                <w:szCs w:val="32"/>
              </w:rPr>
              <w:t>;2</w:t>
            </w:r>
            <w:proofErr w:type="gramEnd"/>
            <w:r w:rsidRPr="002336FA">
              <w:rPr>
                <w:rFonts w:ascii="Browallia New" w:eastAsia="Times New Roman" w:hAnsi="Browallia New" w:cs="Browallia New"/>
                <w:sz w:val="32"/>
                <w:szCs w:val="32"/>
              </w:rPr>
              <w:t>(1):8-18</w:t>
            </w:r>
            <w:r w:rsidRPr="002336FA">
              <w:rPr>
                <w:rFonts w:ascii="Browallia New" w:eastAsia="Times New Roman" w:hAnsi="Browallia New" w:cs="Browallia New"/>
                <w:color w:val="333333"/>
                <w:sz w:val="32"/>
                <w:szCs w:val="32"/>
              </w:rPr>
              <w:t>.</w:t>
            </w:r>
          </w:p>
          <w:p w:rsidR="00BC7FFD" w:rsidRPr="002336FA" w:rsidRDefault="00BC7FFD" w:rsidP="002342BF">
            <w:pPr>
              <w:spacing w:after="0"/>
              <w:rPr>
                <w:rFonts w:ascii="Browallia New" w:hAnsi="Browallia New" w:cs="Browallia New"/>
                <w:sz w:val="32"/>
                <w:szCs w:val="32"/>
              </w:rPr>
            </w:pPr>
          </w:p>
          <w:p w:rsidR="00B01956" w:rsidRPr="002336FA" w:rsidRDefault="00B01956" w:rsidP="002342BF">
            <w:pPr>
              <w:spacing w:after="0" w:line="240" w:lineRule="auto"/>
              <w:rPr>
                <w:rFonts w:ascii="Browallia New" w:hAnsi="Browallia New" w:cs="Browallia New"/>
                <w:sz w:val="32"/>
                <w:szCs w:val="32"/>
                <w:lang w:bidi="ar-SA"/>
              </w:rPr>
            </w:pPr>
          </w:p>
        </w:tc>
      </w:tr>
      <w:bookmarkEnd w:id="0"/>
    </w:tbl>
    <w:p w:rsidR="008C6602" w:rsidRDefault="008C6602" w:rsidP="002342BF">
      <w:pPr>
        <w:spacing w:after="0"/>
      </w:pPr>
    </w:p>
    <w:sectPr w:rsidR="008C660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454"/>
    <w:multiLevelType w:val="hybridMultilevel"/>
    <w:tmpl w:val="513847CA"/>
    <w:lvl w:ilvl="0" w:tplc="4A2CE6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91CD1"/>
    <w:multiLevelType w:val="hybridMultilevel"/>
    <w:tmpl w:val="2196E262"/>
    <w:lvl w:ilvl="0" w:tplc="5DC6EA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6AA2ECC"/>
    <w:multiLevelType w:val="hybridMultilevel"/>
    <w:tmpl w:val="2B1C17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911D5"/>
    <w:multiLevelType w:val="hybridMultilevel"/>
    <w:tmpl w:val="8242C4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76A37"/>
    <w:multiLevelType w:val="hybridMultilevel"/>
    <w:tmpl w:val="165E973A"/>
    <w:lvl w:ilvl="0" w:tplc="04090011">
      <w:start w:val="1"/>
      <w:numFmt w:val="decimal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689651B"/>
    <w:multiLevelType w:val="hybridMultilevel"/>
    <w:tmpl w:val="FBC07DB6"/>
    <w:lvl w:ilvl="0" w:tplc="04090011">
      <w:start w:val="1"/>
      <w:numFmt w:val="decimal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6D883ABC"/>
    <w:multiLevelType w:val="hybridMultilevel"/>
    <w:tmpl w:val="08F045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56"/>
    <w:rsid w:val="00060CAD"/>
    <w:rsid w:val="002336FA"/>
    <w:rsid w:val="002342BF"/>
    <w:rsid w:val="00343DEB"/>
    <w:rsid w:val="004D1E34"/>
    <w:rsid w:val="00584136"/>
    <w:rsid w:val="005E01B1"/>
    <w:rsid w:val="005F7590"/>
    <w:rsid w:val="00646A07"/>
    <w:rsid w:val="007135AC"/>
    <w:rsid w:val="0078629F"/>
    <w:rsid w:val="007C049E"/>
    <w:rsid w:val="008C6602"/>
    <w:rsid w:val="009D61DD"/>
    <w:rsid w:val="00A82E02"/>
    <w:rsid w:val="00B01956"/>
    <w:rsid w:val="00BC7FFD"/>
    <w:rsid w:val="00C22B6B"/>
    <w:rsid w:val="00CE70BF"/>
    <w:rsid w:val="00CF0B4A"/>
    <w:rsid w:val="00DC10E9"/>
    <w:rsid w:val="00DF120B"/>
    <w:rsid w:val="00F8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010071-4109-42CF-93A4-7C27C758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956"/>
    <w:rPr>
      <w:rFonts w:ascii="Calibri" w:eastAsia="Calibri" w:hAnsi="Calibri" w:cs="Cordia New"/>
    </w:rPr>
  </w:style>
  <w:style w:type="paragraph" w:styleId="Heading1">
    <w:name w:val="heading 1"/>
    <w:basedOn w:val="Normal"/>
    <w:link w:val="Heading1Char"/>
    <w:uiPriority w:val="9"/>
    <w:qFormat/>
    <w:rsid w:val="002336FA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336FA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336F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336FA"/>
    <w:rPr>
      <w:color w:val="0000FF"/>
      <w:u w:val="single"/>
    </w:rPr>
  </w:style>
  <w:style w:type="character" w:customStyle="1" w:styleId="fs7">
    <w:name w:val="fs7"/>
    <w:basedOn w:val="DefaultParagraphFont"/>
    <w:rsid w:val="002336FA"/>
  </w:style>
  <w:style w:type="character" w:customStyle="1" w:styleId="ff5">
    <w:name w:val="ff5"/>
    <w:basedOn w:val="DefaultParagraphFont"/>
    <w:rsid w:val="002336FA"/>
  </w:style>
  <w:style w:type="character" w:customStyle="1" w:styleId="ff6">
    <w:name w:val="ff6"/>
    <w:basedOn w:val="DefaultParagraphFont"/>
    <w:rsid w:val="00233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7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aj.org/toc/2213-05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Nareerut Pudpong</dc:creator>
  <cp:keywords/>
  <dc:description/>
  <cp:lastModifiedBy>PATTHANAN  SEETEE</cp:lastModifiedBy>
  <cp:revision>19</cp:revision>
  <dcterms:created xsi:type="dcterms:W3CDTF">2017-11-30T01:19:00Z</dcterms:created>
  <dcterms:modified xsi:type="dcterms:W3CDTF">2018-01-05T09:22:00Z</dcterms:modified>
</cp:coreProperties>
</file>